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DB" w:rsidRDefault="002D1DDB">
      <w:r>
        <w:rPr>
          <w:sz w:val="28"/>
          <w:lang w:val="en-GB"/>
        </w:rPr>
        <w:t>Keynes argues that the classicists by unquestionably adopting Say’s Law decidedly meant that over production was impossible therefore gluts could not occur hence demand deficiency never occurs because involuntary unemployment is not recognised</w:t>
      </w:r>
    </w:p>
    <w:sectPr w:rsidR="002D1DDB" w:rsidSect="002D1D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1DDB"/>
    <w:rsid w:val="002D1DDB"/>
    <w:rsid w:val="007336FC"/>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Tunc</dc:creator>
  <cp:keywords/>
  <cp:lastModifiedBy>Ayhan Tunc</cp:lastModifiedBy>
  <cp:revision>1</cp:revision>
  <dcterms:created xsi:type="dcterms:W3CDTF">2011-02-17T12:43:00Z</dcterms:created>
  <dcterms:modified xsi:type="dcterms:W3CDTF">2011-02-17T19:52:00Z</dcterms:modified>
</cp:coreProperties>
</file>